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General Partnership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Agreement of Dissolution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Document 1183A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www.leaplaw.com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Access to this document and the LeapLaw web site is provided with the understanding that neither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LeapLaw Inc. nor any of the providers of information that appear on the web site is engaged in rendering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legal, accounting or other professional services. If you require legal advice or other expert assistance, you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agree that you will obtain the services of a competent, professional person and will not rely on information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provided on the web site as a substitute for such advice or assistance. Neither the presentation of this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document to you nor your receipt of this document creates an attorney-client relationship.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</w:sectPr>
      </w:pP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AGREEMENT OF DISSOLUTION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This AGREEMENT OF DISSOLUTION (the "Agreement") is made and entered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into as of this __ day of ____, 20__, by [NAME OF PARTNERS] (the "Partners") 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[NAME OF PARTNERSHIP], a ___________ general partnership (the "Partnership").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WITNESSETH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WHEREAS, the Partners entered into that certain partnership agreement of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[NAME OF PARTNERSHIP] on _____________, 200_, (the "Partnership Agreement");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and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WHEREAS, the Partners desire to dissolve the Partnership.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NOW THEREFORE, in consideration of the undertakings and covenants herein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contained, the Partner hereby covenants and agrees as follows: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1.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Dissolution. The Partners hereby withdraw from the Partnership [effective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immediately] and dissolve the Partnership pursuant to Section __ of the Partnership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Agreement.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2.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Winding Up of Business. The Partnership shall be dissolved and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liquidated pursuant to Section __ of the Partnership Agreement.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IN WITNESS WHEREOF, the Partner has executed this Dissolution Agreement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under seal as of the date first above written.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PARTNERS: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[Partner]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[Partner]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____________________________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[Partner]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General Partnership Dissolution Agreement</w:t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  <w:t>www.leaplaw.com</w:t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Liberation Sans" w:hAnsi="Liberation Sans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Liberation Sans" w:hAnsi="Liberation Sans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Liberation Sans" w:hAnsi="Liberation Sans"/>
      <w:b/>
      <w:sz w:val="24"/>
    </w:rPr>
  </w:style>
  <w:style w:type="character" w:styleId="EndnoteCharacters">
    <w:name w:val="Endnote Characters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character" w:styleId="FootnoteCharacters">
    <w:name w:val="Footnote Characters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ArrowheadList">
    <w:name w:val="Arrowhea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BoxList">
    <w:name w:val="Box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Contents1">
    <w:name w:val="TOC 1"/>
    <w:basedOn w:val="Index"/>
    <w:pPr>
      <w:ind w:left="720" w:hanging="431"/>
    </w:pPr>
    <w:rPr/>
  </w:style>
  <w:style w:type="paragraph" w:styleId="Contents2">
    <w:name w:val="TOC 2"/>
    <w:basedOn w:val="Index"/>
    <w:pPr>
      <w:ind w:left="1440" w:hanging="431"/>
    </w:pPr>
    <w:rPr/>
  </w:style>
  <w:style w:type="paragraph" w:styleId="Contents3">
    <w:name w:val="TOC 3"/>
    <w:basedOn w:val="Index"/>
    <w:pPr>
      <w:ind w:left="2160" w:hanging="431"/>
    </w:pPr>
    <w:rPr/>
  </w:style>
  <w:style w:type="paragraph" w:styleId="Contents4">
    <w:name w:val="TOC 4"/>
    <w:basedOn w:val="Index"/>
    <w:pPr>
      <w:ind w:left="2880" w:hanging="431"/>
    </w:pPr>
    <w:rPr/>
  </w:style>
  <w:style w:type="paragraph" w:styleId="ContentsHeader">
    <w:name w:val="Contents Header"/>
    <w:qFormat/>
    <w:pPr>
      <w:widowControl w:val="false"/>
      <w:spacing w:before="240" w:after="120"/>
      <w:jc w:val="center"/>
    </w:pPr>
    <w:rPr>
      <w:rFonts w:ascii="Liberation Sans" w:hAnsi="Liberation Sans" w:eastAsia="DejaVu Sans" w:cs="Noto Sans Devanagari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/>
    <w:rPr/>
  </w:style>
  <w:style w:type="paragraph" w:styleId="Footnote">
    <w:name w:val="Footnote Text"/>
    <w:basedOn w:val="Normal"/>
    <w:pPr/>
    <w:rPr>
      <w:sz w:val="20"/>
    </w:rPr>
  </w:style>
  <w:style w:type="paragraph" w:styleId="HandList">
    <w:name w:val="Han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HeartList">
    <w:name w:val="Heart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basedOn w:val="NumberedList"/>
    <w:qFormat/>
    <w:pPr>
      <w:ind w:left="720" w:hanging="431"/>
    </w:pPr>
    <w:rPr/>
  </w:style>
  <w:style w:type="paragraph" w:styleId="LowerRomanList">
    <w:name w:val="Lower Roman List"/>
    <w:qFormat/>
    <w:pPr>
      <w:widowControl w:val="false"/>
      <w:ind w:left="720" w:hanging="431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1">
    <w:name w:val="Numbered Heading 1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2">
    <w:name w:val="Numbered Heading 2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Heading3">
    <w:name w:val="Numbered Heading 3"/>
    <w:qFormat/>
    <w:pPr>
      <w:widowControl w:val="false"/>
      <w:tabs>
        <w:tab w:val="clear" w:pos="720"/>
        <w:tab w:val="left" w:pos="431" w:leader="none"/>
      </w:tabs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NumberedList">
    <w:name w:val="Numbered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basedOn w:val="Normal"/>
    <w:qFormat/>
    <w:pPr/>
    <w:rPr>
      <w:rFonts w:ascii="Courier New" w:hAnsi="Courier New"/>
    </w:rPr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</w:pPr>
    <w:rPr/>
  </w:style>
  <w:style w:type="paragraph" w:styleId="SquareList">
    <w:name w:val="Squar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bidi w:val="0"/>
      <w:ind w:left="720" w:hanging="431"/>
      <w:jc w:val="left"/>
    </w:pPr>
    <w:rPr>
      <w:rFonts w:ascii="Liberation Serif" w:hAnsi="Liberation Serif" w:eastAsia="Courier New" w:cs="Noto Sans Devanagari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hanging="431"/>
    </w:pPr>
    <w:rPr/>
  </w:style>
  <w:style w:type="paragraph" w:styleId="UpperRomanList">
    <w:name w:val="Upper Roman List"/>
    <w:basedOn w:val="NumberedList"/>
    <w:qFormat/>
    <w:pPr>
      <w:ind w:left="72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